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417C" w14:textId="77777777" w:rsidR="00067C10" w:rsidRDefault="00067C10" w:rsidP="00067C10">
      <w:pPr>
        <w:spacing w:line="276" w:lineRule="auto"/>
        <w:jc w:val="center"/>
      </w:pPr>
      <w:r>
        <w:rPr>
          <w:b/>
          <w:bCs/>
        </w:rPr>
        <w:t>JUSTIFICATIVA DA VANTAJOSIDADE DA AQUISIÇÃO</w:t>
      </w:r>
    </w:p>
    <w:p w14:paraId="1321E2E7" w14:textId="77777777" w:rsidR="00067C10" w:rsidRDefault="00067C10" w:rsidP="00067C10">
      <w:pPr>
        <w:pStyle w:val="subitem1"/>
        <w:tabs>
          <w:tab w:val="clear" w:pos="360"/>
          <w:tab w:val="left" w:pos="708"/>
        </w:tabs>
        <w:spacing w:line="276" w:lineRule="auto"/>
        <w:ind w:firstLine="993"/>
        <w:jc w:val="both"/>
        <w:rPr>
          <w:rFonts w:ascii="Arial" w:hAnsi="Arial" w:cs="Arial"/>
          <w:b/>
          <w:bCs/>
          <w:sz w:val="22"/>
          <w:szCs w:val="22"/>
        </w:rPr>
      </w:pPr>
    </w:p>
    <w:p w14:paraId="160A7BE1" w14:textId="77777777" w:rsidR="00067C10" w:rsidRDefault="00067C10" w:rsidP="00067C10">
      <w:pPr>
        <w:pStyle w:val="subitem1"/>
        <w:tabs>
          <w:tab w:val="left" w:pos="708"/>
        </w:tabs>
        <w:spacing w:line="276" w:lineRule="auto"/>
      </w:pPr>
      <w:r>
        <w:rPr>
          <w:rFonts w:ascii="Arial" w:hAnsi="Arial" w:cs="Arial"/>
          <w:b/>
          <w:sz w:val="21"/>
          <w:szCs w:val="21"/>
        </w:rPr>
        <w:t>1. PESQUISA DE PREÇO</w:t>
      </w:r>
    </w:p>
    <w:p w14:paraId="2B3F36EA" w14:textId="77777777" w:rsidR="00067C10" w:rsidRDefault="00067C10" w:rsidP="00067C10">
      <w:pPr>
        <w:pStyle w:val="subitem1"/>
        <w:tabs>
          <w:tab w:val="left" w:pos="708"/>
        </w:tabs>
        <w:spacing w:line="276" w:lineRule="auto"/>
        <w:ind w:firstLine="709"/>
        <w:jc w:val="both"/>
        <w:rPr>
          <w:rFonts w:ascii="Arial" w:hAnsi="Arial" w:cs="Arial"/>
          <w:b/>
          <w:sz w:val="21"/>
          <w:szCs w:val="21"/>
        </w:rPr>
      </w:pPr>
    </w:p>
    <w:p w14:paraId="332A701F" w14:textId="77777777" w:rsidR="00067C10" w:rsidRDefault="00067C10" w:rsidP="00067C10">
      <w:pPr>
        <w:pStyle w:val="subitem1"/>
        <w:tabs>
          <w:tab w:val="left" w:pos="708"/>
        </w:tabs>
        <w:spacing w:line="276" w:lineRule="auto"/>
        <w:ind w:firstLine="709"/>
        <w:jc w:val="both"/>
      </w:pPr>
      <w:r>
        <w:rPr>
          <w:rFonts w:ascii="Arial" w:hAnsi="Arial" w:cs="Arial"/>
          <w:sz w:val="21"/>
          <w:szCs w:val="21"/>
        </w:rPr>
        <w:t>A pesquisa de mercado, visando identificar a vantajosidade da aquisição, foi realizada em conformidade ao artigo 9º do Decreto 4993/2016. Os meios utilizados para a pesquisa de preço de mercado, visando maior amplitude, foram:</w:t>
      </w:r>
    </w:p>
    <w:p w14:paraId="7E1C292E" w14:textId="77777777" w:rsidR="00067C10" w:rsidRDefault="00067C10" w:rsidP="00067C10">
      <w:pPr>
        <w:pStyle w:val="subitem1"/>
        <w:tabs>
          <w:tab w:val="left" w:pos="708"/>
        </w:tabs>
        <w:spacing w:line="276" w:lineRule="auto"/>
        <w:ind w:firstLine="709"/>
        <w:jc w:val="both"/>
        <w:rPr>
          <w:rFonts w:ascii="Arial" w:hAnsi="Arial" w:cs="Arial"/>
          <w:sz w:val="21"/>
          <w:szCs w:val="21"/>
        </w:rPr>
      </w:pPr>
    </w:p>
    <w:p w14:paraId="1964B456" w14:textId="77777777" w:rsidR="00067C10" w:rsidRDefault="00067C10" w:rsidP="00067C10">
      <w:pPr>
        <w:pStyle w:val="subitem1"/>
        <w:tabs>
          <w:tab w:val="left" w:pos="708"/>
        </w:tabs>
        <w:spacing w:line="276" w:lineRule="auto"/>
        <w:ind w:firstLine="709"/>
        <w:jc w:val="both"/>
      </w:pPr>
      <w:r>
        <w:rPr>
          <w:rFonts w:ascii="Arial" w:hAnsi="Arial" w:cs="Arial"/>
          <w:sz w:val="21"/>
          <w:szCs w:val="21"/>
        </w:rPr>
        <w:t>1.</w:t>
      </w:r>
      <w:r>
        <w:rPr>
          <w:rFonts w:ascii="Arial" w:hAnsi="Arial" w:cs="Arial"/>
          <w:sz w:val="21"/>
          <w:szCs w:val="21"/>
        </w:rPr>
        <w:tab/>
        <w:t>Preços existentes nos bancos de preços [...] (art. 9ª, I);</w:t>
      </w:r>
    </w:p>
    <w:p w14:paraId="47670D00" w14:textId="77777777" w:rsidR="00067C10" w:rsidRDefault="00067C10" w:rsidP="00067C10">
      <w:pPr>
        <w:pStyle w:val="subitem1"/>
        <w:tabs>
          <w:tab w:val="left" w:pos="708"/>
        </w:tabs>
        <w:spacing w:line="276" w:lineRule="auto"/>
        <w:ind w:firstLine="709"/>
        <w:jc w:val="both"/>
      </w:pPr>
      <w:r>
        <w:rPr>
          <w:rFonts w:ascii="Arial" w:hAnsi="Arial" w:cs="Arial"/>
          <w:sz w:val="21"/>
          <w:szCs w:val="21"/>
        </w:rPr>
        <w:t>2.</w:t>
      </w:r>
      <w:r>
        <w:rPr>
          <w:rFonts w:ascii="Arial" w:hAnsi="Arial" w:cs="Arial"/>
          <w:sz w:val="21"/>
          <w:szCs w:val="21"/>
        </w:rPr>
        <w:tab/>
        <w:t>Preços obtidos por outros órgãos ou entidades públicas (art. 9ª, II);</w:t>
      </w:r>
    </w:p>
    <w:p w14:paraId="576A96F5" w14:textId="77777777" w:rsidR="00067C10" w:rsidRDefault="00067C10" w:rsidP="00067C10">
      <w:pPr>
        <w:pStyle w:val="subitem1"/>
        <w:tabs>
          <w:tab w:val="left" w:pos="708"/>
        </w:tabs>
        <w:spacing w:line="276" w:lineRule="auto"/>
        <w:ind w:firstLine="709"/>
        <w:jc w:val="both"/>
      </w:pPr>
      <w:r>
        <w:rPr>
          <w:rFonts w:ascii="Arial" w:hAnsi="Arial" w:cs="Arial"/>
          <w:sz w:val="21"/>
          <w:szCs w:val="21"/>
        </w:rPr>
        <w:t>3.</w:t>
      </w:r>
      <w:r>
        <w:rPr>
          <w:rFonts w:ascii="Arial" w:hAnsi="Arial" w:cs="Arial"/>
          <w:sz w:val="21"/>
          <w:szCs w:val="21"/>
        </w:rPr>
        <w:tab/>
        <w:t>Pesquisa com os fornecedores ou prestadores de serviços [...] (art. 9ª, III);</w:t>
      </w:r>
    </w:p>
    <w:p w14:paraId="2F2E2CAA" w14:textId="77777777" w:rsidR="00067C10" w:rsidRDefault="00067C10" w:rsidP="00067C10">
      <w:pPr>
        <w:pStyle w:val="subitem1"/>
        <w:tabs>
          <w:tab w:val="left" w:pos="708"/>
        </w:tabs>
        <w:spacing w:line="276" w:lineRule="auto"/>
        <w:ind w:firstLine="709"/>
        <w:jc w:val="both"/>
      </w:pPr>
      <w:r>
        <w:rPr>
          <w:rFonts w:ascii="Arial" w:hAnsi="Arial" w:cs="Arial"/>
          <w:sz w:val="21"/>
          <w:szCs w:val="21"/>
        </w:rPr>
        <w:t>4.</w:t>
      </w:r>
      <w:r>
        <w:rPr>
          <w:rFonts w:ascii="Arial" w:hAnsi="Arial" w:cs="Arial"/>
          <w:sz w:val="21"/>
          <w:szCs w:val="21"/>
        </w:rPr>
        <w:tab/>
        <w:t>Preços constantes de banco de preços e homepages (art. 9ª, V);</w:t>
      </w:r>
    </w:p>
    <w:p w14:paraId="197452AC" w14:textId="77777777" w:rsidR="00067C10" w:rsidRDefault="00067C10" w:rsidP="00067C10">
      <w:pPr>
        <w:pStyle w:val="subitem1"/>
        <w:tabs>
          <w:tab w:val="left" w:pos="708"/>
        </w:tabs>
        <w:spacing w:line="276" w:lineRule="auto"/>
        <w:ind w:firstLine="709"/>
        <w:jc w:val="both"/>
        <w:rPr>
          <w:rFonts w:ascii="Arial" w:hAnsi="Arial" w:cs="Arial"/>
          <w:sz w:val="21"/>
          <w:szCs w:val="21"/>
        </w:rPr>
      </w:pPr>
    </w:p>
    <w:p w14:paraId="1E944CF4" w14:textId="77777777" w:rsidR="00067C10" w:rsidRDefault="00067C10" w:rsidP="00067C10">
      <w:pPr>
        <w:pStyle w:val="subitem1"/>
        <w:tabs>
          <w:tab w:val="left" w:pos="708"/>
        </w:tabs>
        <w:spacing w:line="276" w:lineRule="auto"/>
        <w:jc w:val="both"/>
      </w:pPr>
      <w:r>
        <w:rPr>
          <w:rFonts w:ascii="Arial" w:hAnsi="Arial" w:cs="Arial"/>
          <w:b/>
          <w:sz w:val="21"/>
          <w:szCs w:val="21"/>
        </w:rPr>
        <w:t>1.1 Pesquisa com os fornecedores ou prestadores de serviços [...] (art. 9ª, III):</w:t>
      </w:r>
    </w:p>
    <w:p w14:paraId="3A58F685" w14:textId="77777777" w:rsidR="00067C10" w:rsidRDefault="00067C10" w:rsidP="00067C10">
      <w:pPr>
        <w:pStyle w:val="subitem1"/>
        <w:tabs>
          <w:tab w:val="left" w:pos="708"/>
        </w:tabs>
        <w:spacing w:line="276" w:lineRule="auto"/>
        <w:ind w:firstLine="709"/>
        <w:jc w:val="both"/>
        <w:rPr>
          <w:rFonts w:ascii="Arial" w:hAnsi="Arial" w:cs="Arial"/>
          <w:b/>
          <w:color w:val="C9211E"/>
          <w:sz w:val="21"/>
          <w:szCs w:val="21"/>
        </w:rPr>
      </w:pPr>
    </w:p>
    <w:p w14:paraId="01F629E8" w14:textId="77777777" w:rsidR="00067C10" w:rsidRDefault="00067C10" w:rsidP="00067C10">
      <w:pPr>
        <w:pStyle w:val="subitem1"/>
        <w:tabs>
          <w:tab w:val="left" w:pos="708"/>
        </w:tabs>
        <w:spacing w:line="276" w:lineRule="auto"/>
        <w:ind w:firstLine="709"/>
        <w:jc w:val="both"/>
      </w:pPr>
      <w:r>
        <w:rPr>
          <w:rFonts w:ascii="Arial" w:hAnsi="Arial" w:cs="Arial"/>
          <w:sz w:val="21"/>
          <w:szCs w:val="21"/>
        </w:rPr>
        <w:t>Por se trata-se de um ramo de mercado com ampla variedade de modelos de equipamentos de informática e grande número de fornecedores, a pesquisa de preço foi realizada na internet em sites e homepages de fornecedores do ramo de atividade e ampliada para o nível nacional.</w:t>
      </w:r>
    </w:p>
    <w:p w14:paraId="5BB257BC" w14:textId="77777777" w:rsidR="00067C10" w:rsidRDefault="00067C10" w:rsidP="00067C10">
      <w:pPr>
        <w:pStyle w:val="subitem1"/>
        <w:tabs>
          <w:tab w:val="left" w:pos="708"/>
        </w:tabs>
        <w:spacing w:line="276" w:lineRule="auto"/>
        <w:ind w:firstLine="709"/>
        <w:jc w:val="both"/>
        <w:rPr>
          <w:rFonts w:ascii="Arial" w:hAnsi="Arial" w:cs="Arial"/>
          <w:sz w:val="21"/>
          <w:szCs w:val="21"/>
        </w:rPr>
      </w:pPr>
    </w:p>
    <w:p w14:paraId="63DCB8D0" w14:textId="77777777" w:rsidR="00067C10" w:rsidRDefault="00067C10" w:rsidP="00067C10">
      <w:pPr>
        <w:pStyle w:val="subitem1"/>
        <w:tabs>
          <w:tab w:val="left" w:pos="708"/>
        </w:tabs>
        <w:spacing w:line="276" w:lineRule="auto"/>
        <w:jc w:val="both"/>
      </w:pPr>
      <w:r>
        <w:rPr>
          <w:rFonts w:ascii="Arial" w:hAnsi="Arial" w:cs="Arial"/>
          <w:b/>
          <w:sz w:val="21"/>
          <w:szCs w:val="21"/>
        </w:rPr>
        <w:t>1.2 Preços existentes nos bancos de preços [...] (art. 9ª, I, II, V):</w:t>
      </w:r>
    </w:p>
    <w:p w14:paraId="25AAFB86" w14:textId="77777777" w:rsidR="00067C10" w:rsidRDefault="00067C10" w:rsidP="00067C10">
      <w:pPr>
        <w:pStyle w:val="subitem1"/>
        <w:tabs>
          <w:tab w:val="left" w:pos="708"/>
        </w:tabs>
        <w:spacing w:line="276" w:lineRule="auto"/>
        <w:ind w:firstLine="709"/>
        <w:jc w:val="both"/>
        <w:rPr>
          <w:rFonts w:ascii="Arial" w:hAnsi="Arial" w:cs="Arial"/>
          <w:sz w:val="21"/>
          <w:szCs w:val="21"/>
        </w:rPr>
      </w:pPr>
    </w:p>
    <w:p w14:paraId="2B80161A" w14:textId="77777777" w:rsidR="00067C10" w:rsidRDefault="00067C10" w:rsidP="00067C10">
      <w:pPr>
        <w:pStyle w:val="subitem1"/>
        <w:tabs>
          <w:tab w:val="left" w:pos="708"/>
        </w:tabs>
        <w:spacing w:line="276" w:lineRule="auto"/>
        <w:ind w:firstLine="709"/>
        <w:jc w:val="both"/>
      </w:pPr>
      <w:r>
        <w:rPr>
          <w:rFonts w:ascii="Arial" w:hAnsi="Arial" w:cs="Arial"/>
          <w:sz w:val="21"/>
          <w:szCs w:val="21"/>
        </w:rPr>
        <w:t>Para o atendimento a este parâmetro de pesquisa de preços, utilizou-se da plataforma eletrônica Banco de Preços® (www.bancodeprecos.com.br), essa ferramenta realiza a sintetiza resultados de preços realizados por órgãos e entidades públicas, deste modo considera-se que a pesquisa nesta ferramenta atende aos parâmetros de pesquisa de mercado em “banco de preços” e em “outros órgãos ou entidades públicas”.</w:t>
      </w:r>
    </w:p>
    <w:p w14:paraId="6BDCB5CA" w14:textId="77777777" w:rsidR="00067C10" w:rsidRDefault="00067C10" w:rsidP="00067C10">
      <w:pPr>
        <w:pStyle w:val="subitem1"/>
        <w:tabs>
          <w:tab w:val="left" w:pos="708"/>
        </w:tabs>
        <w:spacing w:line="276" w:lineRule="auto"/>
        <w:jc w:val="both"/>
        <w:rPr>
          <w:rFonts w:ascii="Arial" w:hAnsi="Arial" w:cs="Arial"/>
          <w:sz w:val="21"/>
          <w:szCs w:val="21"/>
        </w:rPr>
      </w:pPr>
    </w:p>
    <w:p w14:paraId="0D36F821" w14:textId="77777777" w:rsidR="00067C10" w:rsidRDefault="00067C10" w:rsidP="00067C10">
      <w:pPr>
        <w:pStyle w:val="subitem1"/>
        <w:tabs>
          <w:tab w:val="left" w:pos="708"/>
        </w:tabs>
        <w:spacing w:line="276" w:lineRule="auto"/>
        <w:jc w:val="both"/>
      </w:pPr>
      <w:r>
        <w:rPr>
          <w:rFonts w:ascii="Arial" w:hAnsi="Arial" w:cs="Arial"/>
          <w:sz w:val="21"/>
          <w:szCs w:val="21"/>
        </w:rPr>
        <w:t xml:space="preserve">Item 1: </w:t>
      </w:r>
      <w:r>
        <w:rPr>
          <w:rFonts w:ascii="Arial" w:hAnsi="Arial" w:cs="Arial"/>
          <w:color w:val="C9211E"/>
          <w:sz w:val="21"/>
          <w:szCs w:val="21"/>
        </w:rPr>
        <w:t>MICROFONE LAPELA COM FIO</w:t>
      </w:r>
    </w:p>
    <w:p w14:paraId="10D9B347" w14:textId="77777777" w:rsidR="00067C10" w:rsidRDefault="00067C10" w:rsidP="00067C10">
      <w:pPr>
        <w:pStyle w:val="subitem1"/>
        <w:tabs>
          <w:tab w:val="left" w:pos="708"/>
        </w:tabs>
        <w:spacing w:line="276" w:lineRule="auto"/>
        <w:ind w:firstLine="709"/>
        <w:jc w:val="both"/>
      </w:pPr>
      <w:r>
        <w:rPr>
          <w:rFonts w:ascii="Arial" w:hAnsi="Arial" w:cs="Arial"/>
          <w:color w:val="C9211E"/>
          <w:sz w:val="21"/>
          <w:szCs w:val="21"/>
        </w:rPr>
        <w:t xml:space="preserve">Os critérios de busca utilizados foram: “Microfone lapela fio”, últimos 180 dias. A princípio apareceram 24 resultados, após análise criteriosa dos descritivos de cada item apresentado, foram selecionados 05 (cinco) resultados potenciais que apresentam características com nível de similaridade suficiente para poder se albergar os preços resultantes daqueles processos ao presente Mapa de Formação de Preço, para o lote 6 – Item 1. </w:t>
      </w:r>
    </w:p>
    <w:p w14:paraId="0ABF617F" w14:textId="77777777" w:rsidR="00067C10" w:rsidRDefault="00067C10" w:rsidP="00067C10">
      <w:pPr>
        <w:pStyle w:val="ListParagraph"/>
        <w:spacing w:line="276" w:lineRule="auto"/>
        <w:jc w:val="both"/>
      </w:pPr>
      <w:r>
        <w:rPr>
          <w:color w:val="C9211E"/>
          <w:sz w:val="21"/>
          <w:szCs w:val="21"/>
        </w:rPr>
        <w:t>Valores de proposta final que variaram de R$ 130,60 a R$ 270,00</w:t>
      </w:r>
    </w:p>
    <w:p w14:paraId="6B0BE92D" w14:textId="77777777" w:rsidR="00067C10" w:rsidRDefault="00067C10" w:rsidP="00067C10">
      <w:pPr>
        <w:pStyle w:val="ListParagraph"/>
        <w:spacing w:line="276" w:lineRule="auto"/>
        <w:jc w:val="both"/>
      </w:pPr>
      <w:r>
        <w:rPr>
          <w:color w:val="C9211E"/>
          <w:sz w:val="21"/>
          <w:szCs w:val="21"/>
        </w:rPr>
        <w:t>Média dos menores preços apresentados em propostas finais (05 propostas): R$ 188,10</w:t>
      </w:r>
    </w:p>
    <w:p w14:paraId="42FD4B59" w14:textId="77777777" w:rsidR="00067C10" w:rsidRDefault="00067C10" w:rsidP="00067C10">
      <w:pPr>
        <w:pStyle w:val="subitem1"/>
        <w:tabs>
          <w:tab w:val="left" w:pos="708"/>
        </w:tabs>
        <w:spacing w:line="276" w:lineRule="auto"/>
        <w:ind w:firstLine="709"/>
        <w:jc w:val="both"/>
      </w:pPr>
      <w:r>
        <w:rPr>
          <w:rFonts w:ascii="Arial" w:hAnsi="Arial" w:cs="Arial"/>
          <w:color w:val="C9211E"/>
          <w:sz w:val="21"/>
          <w:szCs w:val="21"/>
        </w:rPr>
        <w:t>Valor a ser adquirido neste processo (protocolo 18.409.818-0): R$ 188,10</w:t>
      </w:r>
    </w:p>
    <w:p w14:paraId="0A4073AC" w14:textId="77777777" w:rsidR="00067C10" w:rsidRDefault="00067C10" w:rsidP="00067C10">
      <w:pPr>
        <w:pStyle w:val="subitem1"/>
        <w:tabs>
          <w:tab w:val="left" w:pos="708"/>
        </w:tabs>
        <w:spacing w:line="276" w:lineRule="auto"/>
        <w:ind w:firstLine="709"/>
        <w:jc w:val="both"/>
        <w:rPr>
          <w:sz w:val="21"/>
          <w:szCs w:val="21"/>
        </w:rPr>
      </w:pPr>
    </w:p>
    <w:p w14:paraId="65A234E5" w14:textId="77777777" w:rsidR="00067C10" w:rsidRDefault="00067C10" w:rsidP="00067C10">
      <w:pPr>
        <w:pStyle w:val="subitem1"/>
        <w:tabs>
          <w:tab w:val="left" w:pos="708"/>
        </w:tabs>
        <w:spacing w:line="276" w:lineRule="auto"/>
      </w:pPr>
      <w:r>
        <w:rPr>
          <w:rFonts w:ascii="Arial" w:hAnsi="Arial" w:cs="Arial"/>
          <w:b/>
          <w:sz w:val="21"/>
          <w:szCs w:val="21"/>
        </w:rPr>
        <w:t xml:space="preserve">2. ANÁLISE DA PESQUISA DE MERCADO E DA VANTAJOSIDADE DA AQUISIÇÃO POR MEIO </w:t>
      </w:r>
      <w:r>
        <w:rPr>
          <w:rFonts w:ascii="Arial" w:hAnsi="Arial" w:cs="Arial"/>
          <w:b/>
          <w:color w:val="C9211E"/>
          <w:sz w:val="21"/>
          <w:szCs w:val="21"/>
        </w:rPr>
        <w:t>DA ATA PE-308/2021)</w:t>
      </w:r>
    </w:p>
    <w:p w14:paraId="1AD423DD" w14:textId="77777777" w:rsidR="00067C10" w:rsidRDefault="00067C10" w:rsidP="00067C10">
      <w:pPr>
        <w:pStyle w:val="subitem1"/>
        <w:tabs>
          <w:tab w:val="left" w:pos="708"/>
        </w:tabs>
        <w:spacing w:line="276" w:lineRule="auto"/>
        <w:ind w:firstLine="709"/>
        <w:jc w:val="both"/>
        <w:rPr>
          <w:rFonts w:ascii="Arial" w:hAnsi="Arial" w:cs="Arial"/>
          <w:b/>
          <w:sz w:val="21"/>
          <w:szCs w:val="21"/>
        </w:rPr>
      </w:pPr>
    </w:p>
    <w:p w14:paraId="577093A0" w14:textId="77777777" w:rsidR="00067C10" w:rsidRDefault="00067C10" w:rsidP="00067C10">
      <w:pPr>
        <w:pStyle w:val="subitem1"/>
        <w:tabs>
          <w:tab w:val="left" w:pos="708"/>
        </w:tabs>
        <w:spacing w:line="276" w:lineRule="auto"/>
        <w:ind w:firstLine="709"/>
        <w:jc w:val="both"/>
      </w:pPr>
      <w:r>
        <w:rPr>
          <w:rFonts w:ascii="Arial" w:hAnsi="Arial" w:cs="Arial"/>
          <w:sz w:val="21"/>
          <w:szCs w:val="21"/>
        </w:rPr>
        <w:t>Após a sintetização dos valores encontrados na pesquisa de mercado por meio do mapa de formação de preços, foram comparados três parâmetros de estimativa de valores de mercado: menor valor; média; e mediana, conforme tabela abaixo:</w:t>
      </w:r>
    </w:p>
    <w:p w14:paraId="14DC3FC3" w14:textId="77777777" w:rsidR="00067C10" w:rsidRDefault="00067C10" w:rsidP="00067C10">
      <w:pPr>
        <w:pStyle w:val="subitem1"/>
        <w:tabs>
          <w:tab w:val="left" w:pos="708"/>
        </w:tabs>
        <w:spacing w:line="276" w:lineRule="auto"/>
        <w:jc w:val="both"/>
        <w:rPr>
          <w:rFonts w:ascii="Arial"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960"/>
        <w:gridCol w:w="1220"/>
        <w:gridCol w:w="960"/>
        <w:gridCol w:w="1220"/>
        <w:gridCol w:w="2555"/>
      </w:tblGrid>
      <w:tr w:rsidR="00067C10" w14:paraId="60C08466" w14:textId="77777777" w:rsidTr="00577BAD">
        <w:trPr>
          <w:trHeight w:val="113"/>
          <w:jc w:val="center"/>
        </w:trPr>
        <w:tc>
          <w:tcPr>
            <w:tcW w:w="960" w:type="dxa"/>
            <w:tcBorders>
              <w:top w:val="single" w:sz="4" w:space="0" w:color="000000"/>
              <w:left w:val="single" w:sz="4" w:space="0" w:color="000000"/>
              <w:right w:val="single" w:sz="4" w:space="0" w:color="000000"/>
            </w:tcBorders>
            <w:shd w:val="clear" w:color="auto" w:fill="E2EFDA"/>
            <w:vAlign w:val="center"/>
          </w:tcPr>
          <w:p w14:paraId="6086DF20" w14:textId="77777777" w:rsidR="00067C10" w:rsidRDefault="00067C10" w:rsidP="00577BAD">
            <w:pPr>
              <w:suppressAutoHyphens w:val="0"/>
              <w:jc w:val="center"/>
            </w:pPr>
            <w:r>
              <w:rPr>
                <w:color w:val="C9211E"/>
                <w:sz w:val="20"/>
                <w:lang w:eastAsia="pt-BR"/>
              </w:rPr>
              <w:t>Item</w:t>
            </w:r>
          </w:p>
        </w:tc>
        <w:tc>
          <w:tcPr>
            <w:tcW w:w="1220" w:type="dxa"/>
            <w:tcBorders>
              <w:top w:val="single" w:sz="4" w:space="0" w:color="000000"/>
              <w:bottom w:val="single" w:sz="4" w:space="0" w:color="000000"/>
              <w:right w:val="single" w:sz="4" w:space="0" w:color="000000"/>
            </w:tcBorders>
            <w:shd w:val="clear" w:color="auto" w:fill="E2EFDA"/>
            <w:vAlign w:val="center"/>
          </w:tcPr>
          <w:p w14:paraId="312AACD0" w14:textId="77777777" w:rsidR="00067C10" w:rsidRDefault="00067C10" w:rsidP="00577BAD">
            <w:pPr>
              <w:suppressAutoHyphens w:val="0"/>
              <w:jc w:val="center"/>
            </w:pPr>
            <w:r>
              <w:rPr>
                <w:color w:val="C9211E"/>
                <w:sz w:val="20"/>
                <w:lang w:eastAsia="pt-BR"/>
              </w:rPr>
              <w:t>Menor valor</w:t>
            </w:r>
          </w:p>
        </w:tc>
        <w:tc>
          <w:tcPr>
            <w:tcW w:w="960" w:type="dxa"/>
            <w:tcBorders>
              <w:top w:val="single" w:sz="4" w:space="0" w:color="000000"/>
              <w:bottom w:val="single" w:sz="4" w:space="0" w:color="000000"/>
              <w:right w:val="single" w:sz="4" w:space="0" w:color="000000"/>
            </w:tcBorders>
            <w:shd w:val="clear" w:color="auto" w:fill="E2EFDA"/>
            <w:vAlign w:val="center"/>
          </w:tcPr>
          <w:p w14:paraId="4D346767" w14:textId="77777777" w:rsidR="00067C10" w:rsidRDefault="00067C10" w:rsidP="00577BAD">
            <w:pPr>
              <w:suppressAutoHyphens w:val="0"/>
              <w:jc w:val="center"/>
            </w:pPr>
            <w:r>
              <w:rPr>
                <w:color w:val="C9211E"/>
                <w:sz w:val="20"/>
                <w:lang w:eastAsia="pt-BR"/>
              </w:rPr>
              <w:t>Média</w:t>
            </w:r>
          </w:p>
        </w:tc>
        <w:tc>
          <w:tcPr>
            <w:tcW w:w="1220" w:type="dxa"/>
            <w:tcBorders>
              <w:top w:val="single" w:sz="4" w:space="0" w:color="000000"/>
              <w:bottom w:val="single" w:sz="4" w:space="0" w:color="000000"/>
              <w:right w:val="single" w:sz="4" w:space="0" w:color="000000"/>
            </w:tcBorders>
            <w:shd w:val="clear" w:color="auto" w:fill="E2EFDA"/>
            <w:vAlign w:val="center"/>
          </w:tcPr>
          <w:p w14:paraId="6E6FAAF7" w14:textId="77777777" w:rsidR="00067C10" w:rsidRDefault="00067C10" w:rsidP="00577BAD">
            <w:pPr>
              <w:suppressAutoHyphens w:val="0"/>
              <w:jc w:val="center"/>
            </w:pPr>
            <w:r>
              <w:rPr>
                <w:color w:val="C9211E"/>
                <w:sz w:val="20"/>
                <w:lang w:eastAsia="pt-BR"/>
              </w:rPr>
              <w:t>Mediana</w:t>
            </w:r>
          </w:p>
        </w:tc>
        <w:tc>
          <w:tcPr>
            <w:tcW w:w="2555" w:type="dxa"/>
            <w:tcBorders>
              <w:top w:val="single" w:sz="4" w:space="0" w:color="000000"/>
              <w:bottom w:val="single" w:sz="4" w:space="0" w:color="000000"/>
              <w:right w:val="single" w:sz="4" w:space="0" w:color="000000"/>
            </w:tcBorders>
            <w:shd w:val="clear" w:color="auto" w:fill="E2EFDA"/>
          </w:tcPr>
          <w:p w14:paraId="4CFEA9AF" w14:textId="77777777" w:rsidR="00067C10" w:rsidRDefault="00067C10" w:rsidP="00577BAD">
            <w:pPr>
              <w:suppressAutoHyphens w:val="0"/>
              <w:jc w:val="center"/>
            </w:pPr>
            <w:r>
              <w:rPr>
                <w:color w:val="C9211E"/>
                <w:sz w:val="20"/>
                <w:lang w:eastAsia="pt-BR"/>
              </w:rPr>
              <w:t>Valor da Ata PE-308/2021</w:t>
            </w:r>
          </w:p>
        </w:tc>
      </w:tr>
      <w:tr w:rsidR="00067C10" w14:paraId="747F034F" w14:textId="77777777" w:rsidTr="00577BAD">
        <w:trPr>
          <w:trHeight w:val="11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377D" w14:textId="77777777" w:rsidR="00067C10" w:rsidRDefault="00067C10" w:rsidP="00577BAD">
            <w:pPr>
              <w:suppressAutoHyphens w:val="0"/>
              <w:jc w:val="center"/>
            </w:pPr>
            <w:proofErr w:type="gramStart"/>
            <w:r>
              <w:rPr>
                <w:rFonts w:eastAsia="Times New Roman" w:cs="Arial"/>
                <w:color w:val="C9211E"/>
                <w:sz w:val="20"/>
                <w:szCs w:val="20"/>
                <w:lang w:eastAsia="pt-BR"/>
              </w:rPr>
              <w:t>Lote  6</w:t>
            </w:r>
            <w:proofErr w:type="gramEnd"/>
          </w:p>
        </w:tc>
        <w:tc>
          <w:tcPr>
            <w:tcW w:w="1220" w:type="dxa"/>
            <w:tcBorders>
              <w:bottom w:val="single" w:sz="4" w:space="0" w:color="000000"/>
              <w:right w:val="single" w:sz="4" w:space="0" w:color="000000"/>
            </w:tcBorders>
            <w:shd w:val="clear" w:color="auto" w:fill="auto"/>
            <w:vAlign w:val="center"/>
          </w:tcPr>
          <w:p w14:paraId="3AF1889B" w14:textId="77777777" w:rsidR="00067C10" w:rsidRDefault="00067C10" w:rsidP="00577BAD">
            <w:pPr>
              <w:suppressAutoHyphens w:val="0"/>
              <w:jc w:val="center"/>
            </w:pPr>
            <w:r>
              <w:rPr>
                <w:color w:val="C9211E"/>
                <w:sz w:val="20"/>
                <w:lang w:eastAsia="pt-BR"/>
              </w:rPr>
              <w:t>128,17</w:t>
            </w:r>
          </w:p>
        </w:tc>
        <w:tc>
          <w:tcPr>
            <w:tcW w:w="960" w:type="dxa"/>
            <w:tcBorders>
              <w:bottom w:val="single" w:sz="4" w:space="0" w:color="000000"/>
              <w:right w:val="single" w:sz="4" w:space="0" w:color="000000"/>
            </w:tcBorders>
            <w:shd w:val="clear" w:color="auto" w:fill="auto"/>
            <w:vAlign w:val="center"/>
          </w:tcPr>
          <w:p w14:paraId="5F12861D" w14:textId="77777777" w:rsidR="00067C10" w:rsidRDefault="00067C10" w:rsidP="00577BAD">
            <w:pPr>
              <w:suppressAutoHyphens w:val="0"/>
              <w:jc w:val="center"/>
            </w:pPr>
            <w:r>
              <w:rPr>
                <w:color w:val="C9211E"/>
                <w:sz w:val="20"/>
                <w:lang w:eastAsia="pt-BR"/>
              </w:rPr>
              <w:t>220,51</w:t>
            </w:r>
          </w:p>
        </w:tc>
        <w:tc>
          <w:tcPr>
            <w:tcW w:w="1220" w:type="dxa"/>
            <w:tcBorders>
              <w:bottom w:val="single" w:sz="4" w:space="0" w:color="000000"/>
              <w:right w:val="single" w:sz="4" w:space="0" w:color="000000"/>
            </w:tcBorders>
            <w:shd w:val="clear" w:color="auto" w:fill="auto"/>
            <w:vAlign w:val="center"/>
          </w:tcPr>
          <w:p w14:paraId="64AFDE46" w14:textId="77777777" w:rsidR="00067C10" w:rsidRDefault="00067C10" w:rsidP="00577BAD">
            <w:pPr>
              <w:suppressAutoHyphens w:val="0"/>
              <w:jc w:val="center"/>
            </w:pPr>
            <w:r>
              <w:rPr>
                <w:rFonts w:eastAsia="Times New Roman" w:cs="Arial"/>
                <w:color w:val="C9211E"/>
                <w:sz w:val="20"/>
                <w:szCs w:val="20"/>
                <w:lang w:eastAsia="pt-BR"/>
              </w:rPr>
              <w:t>188,10</w:t>
            </w:r>
          </w:p>
        </w:tc>
        <w:tc>
          <w:tcPr>
            <w:tcW w:w="2555" w:type="dxa"/>
            <w:tcBorders>
              <w:bottom w:val="single" w:sz="4" w:space="0" w:color="000000"/>
              <w:right w:val="single" w:sz="4" w:space="0" w:color="000000"/>
            </w:tcBorders>
            <w:shd w:val="clear" w:color="auto" w:fill="auto"/>
            <w:vAlign w:val="center"/>
          </w:tcPr>
          <w:p w14:paraId="49EF182B" w14:textId="77777777" w:rsidR="00067C10" w:rsidRDefault="00067C10" w:rsidP="00577BAD">
            <w:pPr>
              <w:suppressAutoHyphens w:val="0"/>
              <w:jc w:val="center"/>
            </w:pPr>
            <w:r>
              <w:rPr>
                <w:rFonts w:eastAsia="Times New Roman" w:cs="Arial"/>
                <w:color w:val="C9211E"/>
                <w:kern w:val="2"/>
                <w:sz w:val="20"/>
                <w:szCs w:val="20"/>
                <w:lang w:eastAsia="zh-CN"/>
              </w:rPr>
              <w:t>106,56</w:t>
            </w:r>
          </w:p>
        </w:tc>
      </w:tr>
    </w:tbl>
    <w:p w14:paraId="47AED7CC" w14:textId="77777777" w:rsidR="00067C10" w:rsidRDefault="00067C10" w:rsidP="00067C10">
      <w:pPr>
        <w:pStyle w:val="subitem1"/>
        <w:tabs>
          <w:tab w:val="left" w:pos="708"/>
        </w:tabs>
        <w:spacing w:line="276" w:lineRule="auto"/>
        <w:jc w:val="both"/>
        <w:rPr>
          <w:rFonts w:ascii="Arial" w:hAnsi="Arial" w:cs="Arial"/>
          <w:sz w:val="22"/>
          <w:szCs w:val="22"/>
        </w:rPr>
      </w:pPr>
    </w:p>
    <w:p w14:paraId="19998EBE" w14:textId="77777777" w:rsidR="00067C10" w:rsidRDefault="00067C10" w:rsidP="00067C10">
      <w:pPr>
        <w:pStyle w:val="subitem1"/>
        <w:tabs>
          <w:tab w:val="left" w:pos="708"/>
        </w:tabs>
        <w:spacing w:line="276" w:lineRule="auto"/>
        <w:jc w:val="both"/>
      </w:pPr>
      <w:r>
        <w:rPr>
          <w:rFonts w:ascii="Arial" w:hAnsi="Arial" w:cs="Arial"/>
          <w:sz w:val="21"/>
          <w:szCs w:val="21"/>
        </w:rPr>
        <w:lastRenderedPageBreak/>
        <w:tab/>
      </w:r>
      <w:r>
        <w:rPr>
          <w:rFonts w:ascii="Arial" w:hAnsi="Arial" w:cs="Arial"/>
          <w:sz w:val="21"/>
          <w:szCs w:val="21"/>
        </w:rPr>
        <w:tab/>
      </w:r>
      <w:r>
        <w:rPr>
          <w:rFonts w:ascii="Arial" w:hAnsi="Arial" w:cs="Arial"/>
          <w:color w:val="C9211E"/>
          <w:sz w:val="21"/>
          <w:szCs w:val="21"/>
        </w:rPr>
        <w:t>Nota-se que ao se comparar o valor dos objetos registrados na Ata PE-308/2021 com os parâmetros de preço dos valores juntados no mapa de formação de preço, a aquisição por meio do Ata registrada se mostra vantajosa em todas as alternativas:</w:t>
      </w:r>
    </w:p>
    <w:p w14:paraId="3305DC80" w14:textId="77777777" w:rsidR="00067C10" w:rsidRDefault="00067C10" w:rsidP="00067C10">
      <w:pPr>
        <w:pStyle w:val="subitem1"/>
        <w:tabs>
          <w:tab w:val="left" w:pos="708"/>
        </w:tabs>
        <w:spacing w:line="276" w:lineRule="auto"/>
        <w:jc w:val="both"/>
        <w:rPr>
          <w:rFonts w:ascii="Arial" w:hAnsi="Arial" w:cs="Arial"/>
          <w:sz w:val="21"/>
          <w:szCs w:val="21"/>
        </w:rPr>
      </w:pPr>
    </w:p>
    <w:p w14:paraId="02E8ED4D" w14:textId="77777777" w:rsidR="00067C10" w:rsidRDefault="00067C10" w:rsidP="00067C10">
      <w:pPr>
        <w:pStyle w:val="subitem1"/>
        <w:tabs>
          <w:tab w:val="left" w:pos="708"/>
        </w:tabs>
        <w:spacing w:line="276" w:lineRule="auto"/>
        <w:jc w:val="center"/>
      </w:pPr>
      <w:r>
        <w:rPr>
          <w:rFonts w:ascii="Arial" w:hAnsi="Arial" w:cs="Arial"/>
          <w:color w:val="C9211E"/>
          <w:sz w:val="16"/>
          <w:szCs w:val="16"/>
        </w:rPr>
        <w:t xml:space="preserve">% de vantajosidade do valor da Ata comparado aos parâmetros de valores de mercado </w:t>
      </w:r>
      <w:r>
        <w:rPr>
          <w:color w:val="C9211E"/>
        </w:rPr>
        <w:t>encontrados</w:t>
      </w:r>
    </w:p>
    <w:tbl>
      <w:tblPr>
        <w:tblW w:w="0" w:type="auto"/>
        <w:jc w:val="center"/>
        <w:tblLayout w:type="fixed"/>
        <w:tblCellMar>
          <w:left w:w="70" w:type="dxa"/>
          <w:right w:w="70" w:type="dxa"/>
        </w:tblCellMar>
        <w:tblLook w:val="0000" w:firstRow="0" w:lastRow="0" w:firstColumn="0" w:lastColumn="0" w:noHBand="0" w:noVBand="0"/>
      </w:tblPr>
      <w:tblGrid>
        <w:gridCol w:w="960"/>
        <w:gridCol w:w="1220"/>
        <w:gridCol w:w="960"/>
        <w:gridCol w:w="1220"/>
      </w:tblGrid>
      <w:tr w:rsidR="00067C10" w14:paraId="757C78C6" w14:textId="77777777" w:rsidTr="00577BAD">
        <w:trPr>
          <w:trHeight w:val="27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3CE44B6F" w14:textId="77777777" w:rsidR="00067C10" w:rsidRDefault="00067C10" w:rsidP="00577BAD">
            <w:pPr>
              <w:suppressAutoHyphens w:val="0"/>
            </w:pPr>
            <w:r>
              <w:rPr>
                <w:color w:val="C9211E"/>
                <w:sz w:val="20"/>
                <w:lang w:eastAsia="pt-BR"/>
              </w:rPr>
              <w:t>Item</w:t>
            </w:r>
          </w:p>
        </w:tc>
        <w:tc>
          <w:tcPr>
            <w:tcW w:w="1220" w:type="dxa"/>
            <w:tcBorders>
              <w:top w:val="single" w:sz="4" w:space="0" w:color="000000"/>
              <w:bottom w:val="single" w:sz="4" w:space="0" w:color="000000"/>
              <w:right w:val="single" w:sz="4" w:space="0" w:color="000000"/>
            </w:tcBorders>
            <w:shd w:val="clear" w:color="auto" w:fill="E2EFDA"/>
            <w:vAlign w:val="bottom"/>
          </w:tcPr>
          <w:p w14:paraId="1D2EBE77" w14:textId="77777777" w:rsidR="00067C10" w:rsidRDefault="00067C10" w:rsidP="00577BAD">
            <w:pPr>
              <w:suppressAutoHyphens w:val="0"/>
              <w:jc w:val="center"/>
            </w:pPr>
            <w:r>
              <w:rPr>
                <w:color w:val="C9211E"/>
                <w:sz w:val="20"/>
                <w:lang w:eastAsia="pt-BR"/>
              </w:rPr>
              <w:t>Menor valor</w:t>
            </w:r>
          </w:p>
        </w:tc>
        <w:tc>
          <w:tcPr>
            <w:tcW w:w="960" w:type="dxa"/>
            <w:tcBorders>
              <w:top w:val="single" w:sz="4" w:space="0" w:color="000000"/>
              <w:bottom w:val="single" w:sz="4" w:space="0" w:color="000000"/>
              <w:right w:val="single" w:sz="4" w:space="0" w:color="000000"/>
            </w:tcBorders>
            <w:shd w:val="clear" w:color="auto" w:fill="E2EFDA"/>
            <w:vAlign w:val="bottom"/>
          </w:tcPr>
          <w:p w14:paraId="254D9D3F" w14:textId="77777777" w:rsidR="00067C10" w:rsidRDefault="00067C10" w:rsidP="00577BAD">
            <w:pPr>
              <w:suppressAutoHyphens w:val="0"/>
              <w:jc w:val="center"/>
            </w:pPr>
            <w:r>
              <w:rPr>
                <w:color w:val="C9211E"/>
                <w:sz w:val="20"/>
                <w:lang w:eastAsia="pt-BR"/>
              </w:rPr>
              <w:t>Média</w:t>
            </w:r>
          </w:p>
        </w:tc>
        <w:tc>
          <w:tcPr>
            <w:tcW w:w="1220" w:type="dxa"/>
            <w:tcBorders>
              <w:top w:val="single" w:sz="4" w:space="0" w:color="000000"/>
              <w:bottom w:val="single" w:sz="4" w:space="0" w:color="000000"/>
              <w:right w:val="single" w:sz="4" w:space="0" w:color="000000"/>
            </w:tcBorders>
            <w:shd w:val="clear" w:color="auto" w:fill="E2EFDA"/>
            <w:vAlign w:val="bottom"/>
          </w:tcPr>
          <w:p w14:paraId="2D962E57" w14:textId="77777777" w:rsidR="00067C10" w:rsidRDefault="00067C10" w:rsidP="00577BAD">
            <w:pPr>
              <w:suppressAutoHyphens w:val="0"/>
              <w:jc w:val="center"/>
            </w:pPr>
            <w:r>
              <w:rPr>
                <w:color w:val="C9211E"/>
                <w:sz w:val="20"/>
                <w:lang w:eastAsia="pt-BR"/>
              </w:rPr>
              <w:t>Mediana</w:t>
            </w:r>
          </w:p>
        </w:tc>
      </w:tr>
      <w:tr w:rsidR="00067C10" w14:paraId="1856287C" w14:textId="77777777" w:rsidTr="00577BAD">
        <w:trPr>
          <w:trHeight w:val="300"/>
          <w:jc w:val="center"/>
        </w:trPr>
        <w:tc>
          <w:tcPr>
            <w:tcW w:w="960" w:type="dxa"/>
            <w:tcBorders>
              <w:left w:val="single" w:sz="4" w:space="0" w:color="000000"/>
              <w:bottom w:val="single" w:sz="4" w:space="0" w:color="000000"/>
              <w:right w:val="single" w:sz="4" w:space="0" w:color="000000"/>
            </w:tcBorders>
            <w:shd w:val="clear" w:color="auto" w:fill="auto"/>
            <w:vAlign w:val="bottom"/>
          </w:tcPr>
          <w:p w14:paraId="43323479" w14:textId="77777777" w:rsidR="00067C10" w:rsidRDefault="00067C10" w:rsidP="00577BAD">
            <w:pPr>
              <w:suppressAutoHyphens w:val="0"/>
            </w:pPr>
            <w:r>
              <w:rPr>
                <w:color w:val="C9211E"/>
                <w:sz w:val="20"/>
                <w:lang w:eastAsia="pt-BR"/>
              </w:rPr>
              <w:t>Lote 6</w:t>
            </w:r>
          </w:p>
        </w:tc>
        <w:tc>
          <w:tcPr>
            <w:tcW w:w="1220" w:type="dxa"/>
            <w:tcBorders>
              <w:bottom w:val="single" w:sz="4" w:space="0" w:color="000000"/>
              <w:right w:val="single" w:sz="4" w:space="0" w:color="000000"/>
            </w:tcBorders>
            <w:shd w:val="clear" w:color="auto" w:fill="auto"/>
            <w:vAlign w:val="bottom"/>
          </w:tcPr>
          <w:p w14:paraId="7813D933" w14:textId="77777777" w:rsidR="00067C10" w:rsidRDefault="00067C10" w:rsidP="00577BAD">
            <w:pPr>
              <w:suppressAutoHyphens w:val="0"/>
              <w:jc w:val="center"/>
            </w:pPr>
            <w:r>
              <w:rPr>
                <w:color w:val="C9211E"/>
                <w:sz w:val="20"/>
                <w:lang w:eastAsia="pt-BR"/>
              </w:rPr>
              <w:t>20%</w:t>
            </w:r>
          </w:p>
        </w:tc>
        <w:tc>
          <w:tcPr>
            <w:tcW w:w="960" w:type="dxa"/>
            <w:tcBorders>
              <w:bottom w:val="single" w:sz="4" w:space="0" w:color="000000"/>
              <w:right w:val="single" w:sz="4" w:space="0" w:color="000000"/>
            </w:tcBorders>
            <w:shd w:val="clear" w:color="auto" w:fill="auto"/>
            <w:vAlign w:val="bottom"/>
          </w:tcPr>
          <w:p w14:paraId="2C80722A" w14:textId="77777777" w:rsidR="00067C10" w:rsidRDefault="00067C10" w:rsidP="00577BAD">
            <w:pPr>
              <w:suppressAutoHyphens w:val="0"/>
              <w:jc w:val="center"/>
            </w:pPr>
            <w:r>
              <w:rPr>
                <w:color w:val="C9211E"/>
                <w:sz w:val="20"/>
                <w:lang w:eastAsia="pt-BR"/>
              </w:rPr>
              <w:t>107%</w:t>
            </w:r>
          </w:p>
        </w:tc>
        <w:tc>
          <w:tcPr>
            <w:tcW w:w="1220" w:type="dxa"/>
            <w:tcBorders>
              <w:bottom w:val="single" w:sz="4" w:space="0" w:color="000000"/>
              <w:right w:val="single" w:sz="4" w:space="0" w:color="000000"/>
            </w:tcBorders>
            <w:shd w:val="clear" w:color="auto" w:fill="auto"/>
            <w:vAlign w:val="bottom"/>
          </w:tcPr>
          <w:p w14:paraId="56A879D1" w14:textId="77777777" w:rsidR="00067C10" w:rsidRDefault="00067C10" w:rsidP="00577BAD">
            <w:pPr>
              <w:suppressAutoHyphens w:val="0"/>
              <w:jc w:val="center"/>
            </w:pPr>
            <w:r>
              <w:rPr>
                <w:color w:val="C9211E"/>
                <w:sz w:val="20"/>
                <w:lang w:eastAsia="pt-BR"/>
              </w:rPr>
              <w:t>76%</w:t>
            </w:r>
          </w:p>
        </w:tc>
      </w:tr>
    </w:tbl>
    <w:p w14:paraId="3C5BE38E" w14:textId="77777777" w:rsidR="00067C10" w:rsidRDefault="00067C10" w:rsidP="00067C10">
      <w:pPr>
        <w:pStyle w:val="subitem1"/>
        <w:tabs>
          <w:tab w:val="left" w:pos="708"/>
        </w:tabs>
        <w:spacing w:line="276" w:lineRule="auto"/>
        <w:jc w:val="both"/>
        <w:rPr>
          <w:rFonts w:ascii="Arial" w:hAnsi="Arial" w:cs="Arial"/>
          <w:color w:val="C9211E"/>
          <w:sz w:val="22"/>
          <w:szCs w:val="22"/>
        </w:rPr>
      </w:pPr>
    </w:p>
    <w:p w14:paraId="2C359581" w14:textId="77777777" w:rsidR="00067C10" w:rsidRDefault="00067C10" w:rsidP="00067C10">
      <w:pPr>
        <w:pStyle w:val="subitem1"/>
        <w:tabs>
          <w:tab w:val="left" w:pos="708"/>
        </w:tabs>
        <w:spacing w:line="276" w:lineRule="auto"/>
        <w:jc w:val="both"/>
        <w:rPr>
          <w:rFonts w:ascii="Arial" w:hAnsi="Arial" w:cs="Arial"/>
          <w:color w:val="C9211E"/>
          <w:sz w:val="22"/>
          <w:szCs w:val="22"/>
        </w:rPr>
      </w:pPr>
    </w:p>
    <w:p w14:paraId="1EB54451" w14:textId="77777777" w:rsidR="00067C10" w:rsidRDefault="00067C10" w:rsidP="00067C10">
      <w:pPr>
        <w:pStyle w:val="subitem1"/>
        <w:tabs>
          <w:tab w:val="left" w:pos="708"/>
        </w:tabs>
        <w:spacing w:line="276" w:lineRule="auto"/>
        <w:jc w:val="both"/>
      </w:pPr>
      <w:r>
        <w:rPr>
          <w:rFonts w:ascii="Arial" w:hAnsi="Arial" w:cs="Arial"/>
          <w:sz w:val="21"/>
          <w:szCs w:val="21"/>
        </w:rPr>
        <w:tab/>
      </w:r>
      <w:r>
        <w:rPr>
          <w:rFonts w:ascii="Arial" w:hAnsi="Arial" w:cs="Arial"/>
          <w:color w:val="C9211E"/>
          <w:sz w:val="21"/>
          <w:szCs w:val="21"/>
        </w:rPr>
        <w:tab/>
        <w:t>O valor da Ata para o lote 6 se mostra 20% mais econômico se comparado ao menor valor de mercado encontrado; 107% se comparada à média dos valores; e 76% mais econômica se comparada à mediada dos valores de mercado.</w:t>
      </w:r>
    </w:p>
    <w:p w14:paraId="2B0A91B9" w14:textId="77777777" w:rsidR="00067C10" w:rsidRDefault="00067C10" w:rsidP="00067C10">
      <w:pPr>
        <w:pStyle w:val="subitem1"/>
        <w:tabs>
          <w:tab w:val="left" w:pos="708"/>
        </w:tabs>
        <w:spacing w:line="276" w:lineRule="auto"/>
        <w:jc w:val="both"/>
      </w:pPr>
      <w:r>
        <w:rPr>
          <w:rFonts w:ascii="Arial" w:hAnsi="Arial" w:cs="Arial"/>
          <w:color w:val="C9211E"/>
          <w:sz w:val="21"/>
          <w:szCs w:val="21"/>
        </w:rPr>
        <w:tab/>
      </w:r>
    </w:p>
    <w:p w14:paraId="4F8525D2" w14:textId="77777777" w:rsidR="00067C10" w:rsidRDefault="00067C10" w:rsidP="00067C10">
      <w:pPr>
        <w:pStyle w:val="subitem1"/>
        <w:tabs>
          <w:tab w:val="left" w:pos="708"/>
        </w:tabs>
        <w:spacing w:line="276" w:lineRule="auto"/>
        <w:ind w:firstLine="709"/>
        <w:jc w:val="both"/>
      </w:pPr>
      <w:r>
        <w:rPr>
          <w:rFonts w:ascii="Arial" w:hAnsi="Arial" w:cs="Arial"/>
          <w:color w:val="C9211E"/>
          <w:sz w:val="21"/>
          <w:szCs w:val="21"/>
        </w:rPr>
        <w:t xml:space="preserve">Isto posto, verifica-se que a aquisição por meio de Adesão a Ata de registro de preços vigente PE-308/2021) é a opção mais vantajosa para a Secretaria de Estado da Saúde. </w:t>
      </w:r>
    </w:p>
    <w:p w14:paraId="4208CB4C" w14:textId="77777777" w:rsidR="00067C10" w:rsidRDefault="00067C10" w:rsidP="00067C10">
      <w:pPr>
        <w:autoSpaceDE w:val="0"/>
        <w:spacing w:line="276" w:lineRule="auto"/>
        <w:ind w:left="360" w:firstLine="633"/>
        <w:jc w:val="both"/>
        <w:rPr>
          <w:rFonts w:cs="Arial"/>
        </w:rPr>
      </w:pPr>
    </w:p>
    <w:p w14:paraId="666BEC90" w14:textId="77777777" w:rsidR="00067C10" w:rsidRDefault="00067C10" w:rsidP="00067C10">
      <w:pPr>
        <w:autoSpaceDE w:val="0"/>
        <w:spacing w:line="276" w:lineRule="auto"/>
        <w:ind w:left="360" w:firstLine="633"/>
        <w:jc w:val="both"/>
        <w:rPr>
          <w:rFonts w:cs="Arial"/>
        </w:rPr>
      </w:pPr>
    </w:p>
    <w:p w14:paraId="555F34DE" w14:textId="77777777" w:rsidR="00067C10" w:rsidRDefault="00067C10" w:rsidP="00067C10">
      <w:pPr>
        <w:autoSpaceDE w:val="0"/>
        <w:spacing w:line="276" w:lineRule="auto"/>
        <w:jc w:val="center"/>
        <w:rPr>
          <w:rFonts w:cs="Arial"/>
        </w:rPr>
      </w:pPr>
    </w:p>
    <w:p w14:paraId="407BF959" w14:textId="77777777" w:rsidR="00067C10" w:rsidRDefault="00067C10" w:rsidP="00067C10">
      <w:pPr>
        <w:pStyle w:val="western"/>
        <w:spacing w:before="0"/>
        <w:jc w:val="center"/>
      </w:pPr>
      <w:r>
        <w:rPr>
          <w:i/>
          <w:color w:val="808080"/>
          <w:sz w:val="20"/>
          <w:szCs w:val="20"/>
        </w:rPr>
        <w:t>(assinado eletronicamente)</w:t>
      </w:r>
    </w:p>
    <w:p w14:paraId="6F1996DB" w14:textId="77777777" w:rsidR="00067C10" w:rsidRDefault="00067C10" w:rsidP="00067C10">
      <w:pPr>
        <w:pStyle w:val="NormalWeb"/>
        <w:jc w:val="center"/>
      </w:pPr>
      <w:proofErr w:type="spellStart"/>
      <w:r>
        <w:rPr>
          <w:rFonts w:ascii="Arial" w:eastAsia="Times New Roman" w:hAnsi="Arial" w:cs="Arial"/>
          <w:color w:val="000000"/>
          <w:szCs w:val="20"/>
          <w:lang w:val="pt-BR"/>
        </w:rPr>
        <w:t>xxxxxx</w:t>
      </w:r>
      <w:proofErr w:type="spellEnd"/>
    </w:p>
    <w:p w14:paraId="43BD535C" w14:textId="77777777" w:rsidR="00067C10" w:rsidRDefault="00067C10" w:rsidP="00067C10">
      <w:pPr>
        <w:pStyle w:val="NormalWeb"/>
        <w:jc w:val="center"/>
      </w:pPr>
      <w:r>
        <w:rPr>
          <w:rFonts w:ascii="Arial" w:eastAsia="Times New Roman" w:hAnsi="Arial" w:cs="Arial"/>
          <w:color w:val="000000"/>
          <w:szCs w:val="20"/>
          <w:lang w:val="pt-BR"/>
        </w:rPr>
        <w:t>Setor/Unidade</w:t>
      </w:r>
    </w:p>
    <w:p w14:paraId="5133B761" w14:textId="77777777" w:rsidR="00067C10" w:rsidRDefault="00067C10" w:rsidP="00067C10">
      <w:pPr>
        <w:autoSpaceDE w:val="0"/>
        <w:spacing w:line="276" w:lineRule="auto"/>
        <w:jc w:val="center"/>
      </w:pPr>
      <w:r>
        <w:rPr>
          <w:rFonts w:eastAsia="Times New Roman" w:cs="Arial"/>
          <w:kern w:val="2"/>
          <w:sz w:val="20"/>
          <w:szCs w:val="20"/>
          <w:lang w:eastAsia="zh-CN"/>
        </w:rPr>
        <w:t>Órgão</w:t>
      </w:r>
    </w:p>
    <w:p w14:paraId="480EDE9A" w14:textId="77777777" w:rsidR="00067C10" w:rsidRDefault="00067C10" w:rsidP="00067C10">
      <w:pPr>
        <w:autoSpaceDE w:val="0"/>
        <w:spacing w:line="276" w:lineRule="auto"/>
        <w:jc w:val="center"/>
        <w:rPr>
          <w:b/>
        </w:rPr>
      </w:pPr>
    </w:p>
    <w:p w14:paraId="7D7E9607" w14:textId="77777777" w:rsidR="00067C10" w:rsidRDefault="00067C10" w:rsidP="00067C10">
      <w:pPr>
        <w:autoSpaceDE w:val="0"/>
        <w:spacing w:line="276" w:lineRule="auto"/>
        <w:jc w:val="center"/>
        <w:rPr>
          <w:b/>
        </w:rPr>
      </w:pPr>
    </w:p>
    <w:p w14:paraId="7C4E93CF" w14:textId="77777777" w:rsidR="00067C10" w:rsidRDefault="00067C10" w:rsidP="00067C10">
      <w:pPr>
        <w:pStyle w:val="western"/>
        <w:spacing w:before="0"/>
        <w:jc w:val="center"/>
      </w:pPr>
      <w:r>
        <w:rPr>
          <w:i/>
          <w:color w:val="808080"/>
          <w:sz w:val="20"/>
          <w:szCs w:val="20"/>
        </w:rPr>
        <w:t>(assinado eletronicamente)</w:t>
      </w:r>
    </w:p>
    <w:p w14:paraId="6D896368" w14:textId="77777777" w:rsidR="00067C10" w:rsidRDefault="00067C10" w:rsidP="00067C10">
      <w:pPr>
        <w:pStyle w:val="NormalWeb"/>
        <w:jc w:val="center"/>
      </w:pPr>
      <w:proofErr w:type="spellStart"/>
      <w:r>
        <w:rPr>
          <w:rFonts w:ascii="Arial" w:eastAsia="Times New Roman" w:hAnsi="Arial" w:cs="Arial"/>
          <w:color w:val="000000"/>
          <w:szCs w:val="20"/>
          <w:lang w:val="pt-BR"/>
        </w:rPr>
        <w:t>xxxxxx</w:t>
      </w:r>
      <w:proofErr w:type="spellEnd"/>
    </w:p>
    <w:p w14:paraId="4AB78CAF" w14:textId="77777777" w:rsidR="00067C10" w:rsidRDefault="00067C10" w:rsidP="00067C10">
      <w:pPr>
        <w:pStyle w:val="NormalWeb"/>
        <w:jc w:val="center"/>
      </w:pPr>
      <w:r>
        <w:rPr>
          <w:rFonts w:ascii="Arial" w:eastAsia="Times New Roman" w:hAnsi="Arial" w:cs="Arial"/>
          <w:color w:val="000000"/>
          <w:szCs w:val="20"/>
          <w:lang w:val="pt-BR"/>
        </w:rPr>
        <w:t>Chefia</w:t>
      </w:r>
    </w:p>
    <w:p w14:paraId="7E9CF1CF" w14:textId="77777777" w:rsidR="00067C10" w:rsidRDefault="00067C10" w:rsidP="00067C10">
      <w:pPr>
        <w:pStyle w:val="NormalWeb"/>
        <w:jc w:val="center"/>
      </w:pPr>
      <w:r>
        <w:rPr>
          <w:rFonts w:ascii="Arial" w:eastAsia="Times New Roman" w:hAnsi="Arial" w:cs="Arial"/>
          <w:color w:val="000000"/>
          <w:szCs w:val="20"/>
          <w:lang w:val="pt-BR"/>
        </w:rPr>
        <w:t>Setor/Unidade</w:t>
      </w:r>
    </w:p>
    <w:p w14:paraId="65F5830A" w14:textId="77777777" w:rsidR="00067C10" w:rsidRDefault="00067C10" w:rsidP="00067C10">
      <w:pPr>
        <w:autoSpaceDE w:val="0"/>
        <w:spacing w:after="0" w:line="276" w:lineRule="auto"/>
        <w:jc w:val="center"/>
      </w:pPr>
      <w:r>
        <w:rPr>
          <w:rFonts w:eastAsia="Times New Roman" w:cs="Arial"/>
          <w:kern w:val="2"/>
          <w:sz w:val="20"/>
          <w:szCs w:val="20"/>
          <w:lang w:eastAsia="zh-CN"/>
        </w:rPr>
        <w:t>Órgão</w:t>
      </w:r>
    </w:p>
    <w:p w14:paraId="1B70C493" w14:textId="77777777" w:rsidR="006B3F5F" w:rsidRDefault="006B3F5F" w:rsidP="002B2F37">
      <w:pPr>
        <w:spacing w:after="0" w:line="360" w:lineRule="auto"/>
        <w:jc w:val="both"/>
        <w:rPr>
          <w:rFonts w:ascii="Arial" w:hAnsi="Arial" w:cs="Arial"/>
        </w:rPr>
      </w:pPr>
    </w:p>
    <w:sectPr w:rsidR="006B3F5F" w:rsidSect="00910AD7">
      <w:headerReference w:type="default" r:id="rId8"/>
      <w:footerReference w:type="default" r:id="rId9"/>
      <w:pgSz w:w="11906" w:h="16838"/>
      <w:pgMar w:top="1701" w:right="1134" w:bottom="1135" w:left="1701" w:header="426" w:footer="14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257A" w14:textId="77777777" w:rsidR="006B3F5F" w:rsidRDefault="00EC20AF">
      <w:pPr>
        <w:spacing w:line="240" w:lineRule="auto"/>
      </w:pPr>
      <w:r>
        <w:separator/>
      </w:r>
    </w:p>
  </w:endnote>
  <w:endnote w:type="continuationSeparator" w:id="0">
    <w:p w14:paraId="595E5347" w14:textId="77777777" w:rsidR="006B3F5F" w:rsidRDefault="00EC2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C45E" w14:textId="77777777" w:rsidR="006B3F5F" w:rsidRDefault="00EC20AF">
    <w:pPr>
      <w:pStyle w:val="Rodap"/>
      <w:jc w:val="center"/>
      <w:rPr>
        <w:color w:val="000000" w:themeColor="text1"/>
      </w:rPr>
    </w:pPr>
    <w:r>
      <w:rPr>
        <w:noProof/>
      </w:rPr>
      <w:drawing>
        <wp:anchor distT="0" distB="0" distL="114300" distR="114300" simplePos="0" relativeHeight="251658752" behindDoc="0" locked="0" layoutInCell="0" allowOverlap="1" wp14:anchorId="47187A25" wp14:editId="1112BD21">
          <wp:simplePos x="0" y="0"/>
          <wp:positionH relativeFrom="margin">
            <wp:posOffset>-24130</wp:posOffset>
          </wp:positionH>
          <wp:positionV relativeFrom="margin">
            <wp:posOffset>8997315</wp:posOffset>
          </wp:positionV>
          <wp:extent cx="5812790" cy="104775"/>
          <wp:effectExtent l="0" t="0" r="16510" b="9525"/>
          <wp:wrapSquare wrapText="bothSides"/>
          <wp:docPr id="437741653" name="Imagem 200060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000606430"/>
                  <pic:cNvPicPr>
                    <a:picLocks noChangeAspect="1" noChangeArrowheads="1"/>
                  </pic:cNvPicPr>
                </pic:nvPicPr>
                <pic:blipFill>
                  <a:blip r:embed="rId1"/>
                  <a:stretch>
                    <a:fillRect/>
                  </a:stretch>
                </pic:blipFill>
                <pic:spPr>
                  <a:xfrm>
                    <a:off x="0" y="0"/>
                    <a:ext cx="5812790" cy="104775"/>
                  </a:xfrm>
                  <a:prstGeom prst="rect">
                    <a:avLst/>
                  </a:prstGeom>
                </pic:spPr>
              </pic:pic>
            </a:graphicData>
          </a:graphic>
        </wp:anchor>
      </w:drawing>
    </w:r>
    <w:r>
      <w:rPr>
        <w:color w:val="000000" w:themeColor="text1"/>
      </w:rPr>
      <w:t>Rua do Rosário, 144 - 10º andar - Centro - Curitiba - PR - CEP: 80.020-110</w:t>
    </w:r>
  </w:p>
  <w:p w14:paraId="7BF929C1" w14:textId="77777777" w:rsidR="006B3F5F" w:rsidRDefault="00EC20AF">
    <w:pPr>
      <w:pStyle w:val="Rodap"/>
      <w:jc w:val="center"/>
      <w:rPr>
        <w:color w:val="000000" w:themeColor="text1"/>
      </w:rPr>
    </w:pPr>
    <w:bookmarkStart w:id="0" w:name="_Hlk139878148"/>
    <w:bookmarkStart w:id="1" w:name="_Hlk139878147"/>
    <w:r>
      <w:rPr>
        <w:color w:val="000000" w:themeColor="text1"/>
      </w:rPr>
      <w:t xml:space="preserve">Telefone: (41) 3798-5373 | www.funeas.pr.gov.br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6448" w14:textId="77777777" w:rsidR="006B3F5F" w:rsidRDefault="00EC20AF">
      <w:pPr>
        <w:spacing w:after="0"/>
      </w:pPr>
      <w:r>
        <w:separator/>
      </w:r>
    </w:p>
  </w:footnote>
  <w:footnote w:type="continuationSeparator" w:id="0">
    <w:p w14:paraId="09537169" w14:textId="77777777" w:rsidR="006B3F5F" w:rsidRDefault="00EC2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95B5" w14:textId="77777777" w:rsidR="006B3F5F" w:rsidRDefault="00EC20AF">
    <w:pPr>
      <w:pStyle w:val="Cabealho"/>
    </w:pPr>
    <w:r>
      <w:rPr>
        <w:noProof/>
      </w:rPr>
      <w:drawing>
        <wp:anchor distT="0" distB="0" distL="0" distR="0" simplePos="0" relativeHeight="251657728" behindDoc="1" locked="0" layoutInCell="0" allowOverlap="1" wp14:anchorId="69A69706" wp14:editId="36FCAC8E">
          <wp:simplePos x="0" y="0"/>
          <wp:positionH relativeFrom="margin">
            <wp:posOffset>-5080</wp:posOffset>
          </wp:positionH>
          <wp:positionV relativeFrom="paragraph">
            <wp:posOffset>69215</wp:posOffset>
          </wp:positionV>
          <wp:extent cx="1341755" cy="390525"/>
          <wp:effectExtent l="0" t="0" r="0" b="0"/>
          <wp:wrapNone/>
          <wp:docPr id="1139514358" name="Imagem 954150744"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54150744" descr="Texto&#10;&#10;Descrição gerada automaticamente com confiança baixa"/>
                  <pic:cNvPicPr>
                    <a:picLocks noChangeAspect="1" noChangeArrowheads="1"/>
                  </pic:cNvPicPr>
                </pic:nvPicPr>
                <pic:blipFill>
                  <a:blip r:embed="rId1"/>
                  <a:stretch>
                    <a:fillRect/>
                  </a:stretch>
                </pic:blipFill>
                <pic:spPr>
                  <a:xfrm>
                    <a:off x="0" y="0"/>
                    <a:ext cx="1341755" cy="390525"/>
                  </a:xfrm>
                  <a:prstGeom prst="rect">
                    <a:avLst/>
                  </a:prstGeom>
                </pic:spPr>
              </pic:pic>
            </a:graphicData>
          </a:graphic>
        </wp:anchor>
      </w:drawing>
    </w:r>
    <w:r>
      <w:rPr>
        <w:noProof/>
      </w:rPr>
      <w:drawing>
        <wp:anchor distT="0" distB="0" distL="0" distR="0" simplePos="0" relativeHeight="251656704" behindDoc="1" locked="0" layoutInCell="0" allowOverlap="1" wp14:anchorId="1674823B" wp14:editId="0EB4BF38">
          <wp:simplePos x="0" y="0"/>
          <wp:positionH relativeFrom="column">
            <wp:posOffset>4486275</wp:posOffset>
          </wp:positionH>
          <wp:positionV relativeFrom="paragraph">
            <wp:posOffset>-635</wp:posOffset>
          </wp:positionV>
          <wp:extent cx="1259205" cy="462915"/>
          <wp:effectExtent l="0" t="0" r="0" b="0"/>
          <wp:wrapNone/>
          <wp:docPr id="219598424" name="Imagem 2002219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002219926"/>
                  <pic:cNvPicPr>
                    <a:picLocks noChangeAspect="1" noChangeArrowheads="1"/>
                  </pic:cNvPicPr>
                </pic:nvPicPr>
                <pic:blipFill>
                  <a:blip r:embed="rId2"/>
                  <a:stretch>
                    <a:fillRect/>
                  </a:stretch>
                </pic:blipFill>
                <pic:spPr>
                  <a:xfrm>
                    <a:off x="0" y="0"/>
                    <a:ext cx="1259205" cy="462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1D9D"/>
    <w:multiLevelType w:val="hybridMultilevel"/>
    <w:tmpl w:val="181A027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271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D2D"/>
    <w:rsid w:val="00015B43"/>
    <w:rsid w:val="00036ADB"/>
    <w:rsid w:val="00050948"/>
    <w:rsid w:val="00060830"/>
    <w:rsid w:val="0006326B"/>
    <w:rsid w:val="00064B8F"/>
    <w:rsid w:val="00067C10"/>
    <w:rsid w:val="000A6747"/>
    <w:rsid w:val="000B6405"/>
    <w:rsid w:val="000C2FA2"/>
    <w:rsid w:val="000C66F6"/>
    <w:rsid w:val="000D798E"/>
    <w:rsid w:val="000D7D26"/>
    <w:rsid w:val="000F0317"/>
    <w:rsid w:val="000F2B47"/>
    <w:rsid w:val="000F5316"/>
    <w:rsid w:val="000F5B67"/>
    <w:rsid w:val="00104B31"/>
    <w:rsid w:val="00110E39"/>
    <w:rsid w:val="00115491"/>
    <w:rsid w:val="00117E66"/>
    <w:rsid w:val="00120666"/>
    <w:rsid w:val="00125865"/>
    <w:rsid w:val="00146DA4"/>
    <w:rsid w:val="00162932"/>
    <w:rsid w:val="00165326"/>
    <w:rsid w:val="00172A27"/>
    <w:rsid w:val="00177539"/>
    <w:rsid w:val="0018197D"/>
    <w:rsid w:val="00183211"/>
    <w:rsid w:val="00183BF7"/>
    <w:rsid w:val="001841AB"/>
    <w:rsid w:val="001B00EE"/>
    <w:rsid w:val="001B055A"/>
    <w:rsid w:val="001C55E4"/>
    <w:rsid w:val="001D0F05"/>
    <w:rsid w:val="001D2DB4"/>
    <w:rsid w:val="001D664F"/>
    <w:rsid w:val="001E001D"/>
    <w:rsid w:val="001E35C6"/>
    <w:rsid w:val="002472E8"/>
    <w:rsid w:val="00274499"/>
    <w:rsid w:val="002B245F"/>
    <w:rsid w:val="002B2F37"/>
    <w:rsid w:val="002B5E1D"/>
    <w:rsid w:val="002E0EF6"/>
    <w:rsid w:val="002F20F3"/>
    <w:rsid w:val="002F2A57"/>
    <w:rsid w:val="002F65B7"/>
    <w:rsid w:val="00316DA3"/>
    <w:rsid w:val="00323D41"/>
    <w:rsid w:val="003257C6"/>
    <w:rsid w:val="00333F8A"/>
    <w:rsid w:val="00336743"/>
    <w:rsid w:val="00353850"/>
    <w:rsid w:val="003639FC"/>
    <w:rsid w:val="00370103"/>
    <w:rsid w:val="00371790"/>
    <w:rsid w:val="00395BBF"/>
    <w:rsid w:val="003B76E1"/>
    <w:rsid w:val="003C0AB7"/>
    <w:rsid w:val="003D33E9"/>
    <w:rsid w:val="003D52C4"/>
    <w:rsid w:val="003D6D35"/>
    <w:rsid w:val="003D744C"/>
    <w:rsid w:val="00405DB9"/>
    <w:rsid w:val="00413989"/>
    <w:rsid w:val="00413E27"/>
    <w:rsid w:val="00423B8C"/>
    <w:rsid w:val="004402C5"/>
    <w:rsid w:val="0044721C"/>
    <w:rsid w:val="004475F7"/>
    <w:rsid w:val="00447C0C"/>
    <w:rsid w:val="004821EA"/>
    <w:rsid w:val="00483F5A"/>
    <w:rsid w:val="00493C2D"/>
    <w:rsid w:val="004977BC"/>
    <w:rsid w:val="004A07CC"/>
    <w:rsid w:val="004B25FB"/>
    <w:rsid w:val="004C1FD0"/>
    <w:rsid w:val="004C3212"/>
    <w:rsid w:val="004E1F6B"/>
    <w:rsid w:val="004F0B1B"/>
    <w:rsid w:val="004F3DA7"/>
    <w:rsid w:val="004F5F08"/>
    <w:rsid w:val="005145D9"/>
    <w:rsid w:val="0056134D"/>
    <w:rsid w:val="00581FB1"/>
    <w:rsid w:val="00583D0E"/>
    <w:rsid w:val="00586C57"/>
    <w:rsid w:val="00595E6A"/>
    <w:rsid w:val="005A0BBE"/>
    <w:rsid w:val="005B64BD"/>
    <w:rsid w:val="005D392E"/>
    <w:rsid w:val="005D5805"/>
    <w:rsid w:val="005D5903"/>
    <w:rsid w:val="005E30B2"/>
    <w:rsid w:val="005E4D89"/>
    <w:rsid w:val="005F14A0"/>
    <w:rsid w:val="005F71E7"/>
    <w:rsid w:val="00600C65"/>
    <w:rsid w:val="00602815"/>
    <w:rsid w:val="00605F44"/>
    <w:rsid w:val="0062450D"/>
    <w:rsid w:val="00642611"/>
    <w:rsid w:val="006437E1"/>
    <w:rsid w:val="00645AE7"/>
    <w:rsid w:val="00647E18"/>
    <w:rsid w:val="0065608F"/>
    <w:rsid w:val="00663F39"/>
    <w:rsid w:val="00675719"/>
    <w:rsid w:val="0068419D"/>
    <w:rsid w:val="00685EA1"/>
    <w:rsid w:val="00691E7F"/>
    <w:rsid w:val="0069521D"/>
    <w:rsid w:val="006A0935"/>
    <w:rsid w:val="006A529D"/>
    <w:rsid w:val="006B3F5F"/>
    <w:rsid w:val="006B5999"/>
    <w:rsid w:val="006F727A"/>
    <w:rsid w:val="00723015"/>
    <w:rsid w:val="00735956"/>
    <w:rsid w:val="007375E1"/>
    <w:rsid w:val="007473DE"/>
    <w:rsid w:val="007848F1"/>
    <w:rsid w:val="00794276"/>
    <w:rsid w:val="007944C6"/>
    <w:rsid w:val="007A5696"/>
    <w:rsid w:val="007B1D96"/>
    <w:rsid w:val="007B26FF"/>
    <w:rsid w:val="007B3840"/>
    <w:rsid w:val="007B5606"/>
    <w:rsid w:val="007C4A8D"/>
    <w:rsid w:val="007E08E8"/>
    <w:rsid w:val="007E78B9"/>
    <w:rsid w:val="00804A09"/>
    <w:rsid w:val="0081092A"/>
    <w:rsid w:val="008271F8"/>
    <w:rsid w:val="008305F7"/>
    <w:rsid w:val="0084542E"/>
    <w:rsid w:val="00847A10"/>
    <w:rsid w:val="00856B23"/>
    <w:rsid w:val="00863CDF"/>
    <w:rsid w:val="008660D7"/>
    <w:rsid w:val="00874728"/>
    <w:rsid w:val="008862CD"/>
    <w:rsid w:val="008864CC"/>
    <w:rsid w:val="00891270"/>
    <w:rsid w:val="008937A7"/>
    <w:rsid w:val="00896BEA"/>
    <w:rsid w:val="008A432A"/>
    <w:rsid w:val="008A61D8"/>
    <w:rsid w:val="008A7892"/>
    <w:rsid w:val="008D1F4E"/>
    <w:rsid w:val="008E3642"/>
    <w:rsid w:val="008F6ABB"/>
    <w:rsid w:val="009060A4"/>
    <w:rsid w:val="00910AD7"/>
    <w:rsid w:val="00912171"/>
    <w:rsid w:val="0091279B"/>
    <w:rsid w:val="009141D3"/>
    <w:rsid w:val="00927F61"/>
    <w:rsid w:val="00930C20"/>
    <w:rsid w:val="00943429"/>
    <w:rsid w:val="009712DD"/>
    <w:rsid w:val="00974F57"/>
    <w:rsid w:val="00980D18"/>
    <w:rsid w:val="00986B23"/>
    <w:rsid w:val="009919A6"/>
    <w:rsid w:val="009A20AC"/>
    <w:rsid w:val="009C561A"/>
    <w:rsid w:val="009D53BC"/>
    <w:rsid w:val="009F784A"/>
    <w:rsid w:val="00A01546"/>
    <w:rsid w:val="00A30DBE"/>
    <w:rsid w:val="00A34F4D"/>
    <w:rsid w:val="00A41E03"/>
    <w:rsid w:val="00A46986"/>
    <w:rsid w:val="00A62FEC"/>
    <w:rsid w:val="00A70DEB"/>
    <w:rsid w:val="00A766FA"/>
    <w:rsid w:val="00A81058"/>
    <w:rsid w:val="00A81314"/>
    <w:rsid w:val="00A82631"/>
    <w:rsid w:val="00A83D1F"/>
    <w:rsid w:val="00A8406F"/>
    <w:rsid w:val="00A9124F"/>
    <w:rsid w:val="00AB2BA0"/>
    <w:rsid w:val="00AB55BD"/>
    <w:rsid w:val="00AC0EF2"/>
    <w:rsid w:val="00AC1D24"/>
    <w:rsid w:val="00AC376E"/>
    <w:rsid w:val="00AE1F71"/>
    <w:rsid w:val="00AF6E80"/>
    <w:rsid w:val="00B021AC"/>
    <w:rsid w:val="00B0420E"/>
    <w:rsid w:val="00B13315"/>
    <w:rsid w:val="00B22788"/>
    <w:rsid w:val="00B35A63"/>
    <w:rsid w:val="00B37815"/>
    <w:rsid w:val="00B60054"/>
    <w:rsid w:val="00B6262C"/>
    <w:rsid w:val="00B71D67"/>
    <w:rsid w:val="00B82EEA"/>
    <w:rsid w:val="00B91EB0"/>
    <w:rsid w:val="00B95AFB"/>
    <w:rsid w:val="00BB49EF"/>
    <w:rsid w:val="00BC060A"/>
    <w:rsid w:val="00C06224"/>
    <w:rsid w:val="00C1637A"/>
    <w:rsid w:val="00C174E3"/>
    <w:rsid w:val="00C233C7"/>
    <w:rsid w:val="00C236CF"/>
    <w:rsid w:val="00C74F6E"/>
    <w:rsid w:val="00C824F1"/>
    <w:rsid w:val="00C95013"/>
    <w:rsid w:val="00CA2046"/>
    <w:rsid w:val="00CB77FA"/>
    <w:rsid w:val="00CD3DB9"/>
    <w:rsid w:val="00CF1AFD"/>
    <w:rsid w:val="00CF47F6"/>
    <w:rsid w:val="00D00F66"/>
    <w:rsid w:val="00D11E62"/>
    <w:rsid w:val="00D1327F"/>
    <w:rsid w:val="00D3092F"/>
    <w:rsid w:val="00D33DA5"/>
    <w:rsid w:val="00D450C1"/>
    <w:rsid w:val="00D61093"/>
    <w:rsid w:val="00D64825"/>
    <w:rsid w:val="00D65A35"/>
    <w:rsid w:val="00D730B2"/>
    <w:rsid w:val="00D75A15"/>
    <w:rsid w:val="00D7789F"/>
    <w:rsid w:val="00D84EC9"/>
    <w:rsid w:val="00D931CF"/>
    <w:rsid w:val="00D948AD"/>
    <w:rsid w:val="00DA0A0E"/>
    <w:rsid w:val="00DA2B4E"/>
    <w:rsid w:val="00DA5216"/>
    <w:rsid w:val="00DD33B0"/>
    <w:rsid w:val="00E00B5D"/>
    <w:rsid w:val="00E246F7"/>
    <w:rsid w:val="00E47D58"/>
    <w:rsid w:val="00E53D02"/>
    <w:rsid w:val="00E64D26"/>
    <w:rsid w:val="00E75D0D"/>
    <w:rsid w:val="00E86416"/>
    <w:rsid w:val="00E95761"/>
    <w:rsid w:val="00EA348E"/>
    <w:rsid w:val="00EA5C67"/>
    <w:rsid w:val="00EA6DBA"/>
    <w:rsid w:val="00EB2A0E"/>
    <w:rsid w:val="00EC20AF"/>
    <w:rsid w:val="00ED3291"/>
    <w:rsid w:val="00EE260F"/>
    <w:rsid w:val="00F15E91"/>
    <w:rsid w:val="00F22418"/>
    <w:rsid w:val="00F230CA"/>
    <w:rsid w:val="00F3428F"/>
    <w:rsid w:val="00F44103"/>
    <w:rsid w:val="00F51EB9"/>
    <w:rsid w:val="00F53CBC"/>
    <w:rsid w:val="00F55D56"/>
    <w:rsid w:val="00F5657E"/>
    <w:rsid w:val="00F60F77"/>
    <w:rsid w:val="00F80AAE"/>
    <w:rsid w:val="00F848F0"/>
    <w:rsid w:val="00F91214"/>
    <w:rsid w:val="00FA126F"/>
    <w:rsid w:val="00FA2BA6"/>
    <w:rsid w:val="00FA474D"/>
    <w:rsid w:val="00FB5A25"/>
    <w:rsid w:val="00FC51EA"/>
    <w:rsid w:val="00FD089D"/>
    <w:rsid w:val="00FD25CB"/>
    <w:rsid w:val="00FE2CF3"/>
    <w:rsid w:val="00FE31EE"/>
    <w:rsid w:val="00FF3F1B"/>
    <w:rsid w:val="00FF46B7"/>
    <w:rsid w:val="01453CF0"/>
    <w:rsid w:val="01964F74"/>
    <w:rsid w:val="055A55B4"/>
    <w:rsid w:val="05880F39"/>
    <w:rsid w:val="07867A6B"/>
    <w:rsid w:val="0A61592F"/>
    <w:rsid w:val="0CDF086A"/>
    <w:rsid w:val="0E1B2CCA"/>
    <w:rsid w:val="0E1E4EB4"/>
    <w:rsid w:val="0EEE5E2D"/>
    <w:rsid w:val="0F673668"/>
    <w:rsid w:val="0FC5768C"/>
    <w:rsid w:val="143E41F2"/>
    <w:rsid w:val="16625621"/>
    <w:rsid w:val="17A13571"/>
    <w:rsid w:val="180F76C7"/>
    <w:rsid w:val="185A5B54"/>
    <w:rsid w:val="19117AEE"/>
    <w:rsid w:val="1F395D3D"/>
    <w:rsid w:val="22AE6FE9"/>
    <w:rsid w:val="27A02A80"/>
    <w:rsid w:val="280F7092"/>
    <w:rsid w:val="29FF12EE"/>
    <w:rsid w:val="2D774F03"/>
    <w:rsid w:val="2F5E55E6"/>
    <w:rsid w:val="308E67E1"/>
    <w:rsid w:val="32872993"/>
    <w:rsid w:val="32F05B70"/>
    <w:rsid w:val="33C176C1"/>
    <w:rsid w:val="34F727C1"/>
    <w:rsid w:val="381A1E8E"/>
    <w:rsid w:val="39B32F7D"/>
    <w:rsid w:val="42FA6397"/>
    <w:rsid w:val="454511AA"/>
    <w:rsid w:val="45AE3729"/>
    <w:rsid w:val="47FF71AB"/>
    <w:rsid w:val="495F5E6E"/>
    <w:rsid w:val="49ED370D"/>
    <w:rsid w:val="4A3115D0"/>
    <w:rsid w:val="4B7D5CAA"/>
    <w:rsid w:val="4D9D0D30"/>
    <w:rsid w:val="500C4E38"/>
    <w:rsid w:val="539347BC"/>
    <w:rsid w:val="58810C46"/>
    <w:rsid w:val="5B0F14A4"/>
    <w:rsid w:val="61B43890"/>
    <w:rsid w:val="63273E9D"/>
    <w:rsid w:val="647A7BFA"/>
    <w:rsid w:val="65BE79B4"/>
    <w:rsid w:val="6970365F"/>
    <w:rsid w:val="6A993F4F"/>
    <w:rsid w:val="6D0C4F76"/>
    <w:rsid w:val="6E4101FD"/>
    <w:rsid w:val="6E4A32E6"/>
    <w:rsid w:val="6F2936EC"/>
    <w:rsid w:val="717C15A8"/>
    <w:rsid w:val="7346699A"/>
    <w:rsid w:val="786C72D4"/>
    <w:rsid w:val="7C6813A5"/>
    <w:rsid w:val="7F8E1877"/>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DFE0"/>
  <w15:docId w15:val="{CB764F3E-62F1-49A6-82B4-956ECAA6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Corpodetexto"/>
    <w:qFormat/>
    <w:rPr>
      <w:rFonts w:cs="Lucida Sans"/>
    </w:rPr>
  </w:style>
  <w:style w:type="paragraph" w:styleId="Corpodetexto">
    <w:name w:val="Body Text"/>
    <w:basedOn w:val="Normal"/>
    <w:link w:val="CorpodetextoChar"/>
    <w:qFormat/>
    <w:pPr>
      <w:spacing w:after="140" w:line="276" w:lineRule="auto"/>
    </w:pPr>
  </w:style>
  <w:style w:type="paragraph" w:styleId="NormalWeb">
    <w:name w:val="Normal (Web)"/>
    <w:unhideWhenUsed/>
    <w:qFormat/>
    <w:pPr>
      <w:spacing w:beforeAutospacing="1" w:afterAutospacing="1"/>
    </w:pPr>
    <w:rPr>
      <w:szCs w:val="24"/>
      <w:lang w:val="en-US" w:eastAsia="zh-CN"/>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Legenda">
    <w:name w:val="caption"/>
    <w:basedOn w:val="Normal"/>
    <w:qFormat/>
    <w:pPr>
      <w:suppressLineNumbers/>
      <w:spacing w:before="120" w:after="120"/>
    </w:pPr>
    <w:rPr>
      <w:rFonts w:cs="Lucida Sans"/>
      <w:i/>
      <w:iCs/>
      <w:sz w:val="24"/>
      <w:szCs w:val="24"/>
    </w:rPr>
  </w:style>
  <w:style w:type="paragraph" w:styleId="Textodenotaderodap">
    <w:name w:val="footnote text"/>
    <w:basedOn w:val="Normal"/>
    <w:uiPriority w:val="99"/>
    <w:semiHidden/>
    <w:unhideWhenUsed/>
    <w:qFormat/>
    <w:pPr>
      <w:snapToGrid w:val="0"/>
    </w:pPr>
    <w:rPr>
      <w:sz w:val="18"/>
      <w:szCs w:val="18"/>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CorpodetextoChar">
    <w:name w:val="Corpo de texto Char"/>
    <w:basedOn w:val="Fontepargpadro"/>
    <w:link w:val="Corpodetexto"/>
    <w:qFormat/>
  </w:style>
  <w:style w:type="character" w:customStyle="1" w:styleId="markedcontent">
    <w:name w:val="markedcontent"/>
    <w:basedOn w:val="Fontepargpadro"/>
    <w:qFormat/>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Default">
    <w:name w:val="Default"/>
    <w:qFormat/>
    <w:pPr>
      <w:suppressAutoHyphens/>
    </w:pPr>
    <w:rPr>
      <w:rFonts w:ascii="Arial" w:eastAsia="Calibri" w:hAnsi="Arial" w:cs="Arial"/>
      <w:color w:val="000000"/>
      <w:sz w:val="24"/>
      <w:szCs w:val="24"/>
      <w:lang w:eastAsia="en-US"/>
    </w:rPr>
  </w:style>
  <w:style w:type="paragraph" w:styleId="PargrafodaLista">
    <w:name w:val="List Paragraph"/>
    <w:basedOn w:val="Normal"/>
    <w:uiPriority w:val="1"/>
    <w:qFormat/>
    <w:pPr>
      <w:ind w:left="720"/>
      <w:contextualSpacing/>
    </w:pPr>
  </w:style>
  <w:style w:type="paragraph" w:customStyle="1" w:styleId="Standard">
    <w:name w:val="Standard"/>
    <w:qFormat/>
    <w:pPr>
      <w:suppressAutoHyphens/>
    </w:pPr>
    <w:rPr>
      <w:rFonts w:eastAsia="Arial Unicode MS"/>
      <w:color w:val="000000"/>
      <w:sz w:val="24"/>
      <w:szCs w:val="24"/>
      <w:lang w:val="pt-PT"/>
    </w:rPr>
  </w:style>
  <w:style w:type="paragraph" w:customStyle="1" w:styleId="Contedodatabela">
    <w:name w:val="Conteúdo da tabela"/>
    <w:basedOn w:val="Normal"/>
    <w:qFormat/>
    <w:pPr>
      <w:suppressLineNumbers/>
    </w:pPr>
  </w:style>
  <w:style w:type="paragraph" w:customStyle="1" w:styleId="subitem1">
    <w:name w:val="subitem 1"/>
    <w:basedOn w:val="Normal"/>
    <w:rsid w:val="00067C10"/>
    <w:pPr>
      <w:tabs>
        <w:tab w:val="left" w:pos="360"/>
      </w:tabs>
      <w:spacing w:after="0" w:line="240" w:lineRule="auto"/>
    </w:pPr>
    <w:rPr>
      <w:rFonts w:ascii="Times New Roman" w:eastAsia="Times New Roman" w:hAnsi="Times New Roman" w:cs="Times New Roman"/>
      <w:sz w:val="20"/>
      <w:szCs w:val="20"/>
      <w:lang w:eastAsia="zh-CN"/>
    </w:rPr>
  </w:style>
  <w:style w:type="paragraph" w:customStyle="1" w:styleId="western">
    <w:name w:val="western"/>
    <w:basedOn w:val="Normal"/>
    <w:rsid w:val="00067C10"/>
    <w:pPr>
      <w:suppressAutoHyphens w:val="0"/>
      <w:spacing w:before="100" w:after="0" w:line="240" w:lineRule="auto"/>
    </w:pPr>
    <w:rPr>
      <w:rFonts w:ascii="Arial" w:eastAsia="Times New Roman" w:hAnsi="Arial" w:cs="Arial"/>
      <w:color w:val="000000"/>
      <w:sz w:val="24"/>
      <w:szCs w:val="24"/>
      <w:lang w:eastAsia="zh-CN"/>
    </w:rPr>
  </w:style>
  <w:style w:type="paragraph" w:customStyle="1" w:styleId="ListParagraph">
    <w:name w:val="List Paragraph"/>
    <w:basedOn w:val="Normal"/>
    <w:rsid w:val="00067C10"/>
    <w:pPr>
      <w:spacing w:after="0" w:line="240" w:lineRule="auto"/>
      <w:ind w:left="720"/>
      <w:contextualSpacing/>
    </w:pPr>
    <w:rPr>
      <w:rFonts w:ascii="Arial" w:eastAsia="Times New Roman" w:hAnsi="Arial" w:cs="Arial"/>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273">
      <w:bodyDiv w:val="1"/>
      <w:marLeft w:val="0"/>
      <w:marRight w:val="0"/>
      <w:marTop w:val="0"/>
      <w:marBottom w:val="0"/>
      <w:divBdr>
        <w:top w:val="none" w:sz="0" w:space="0" w:color="auto"/>
        <w:left w:val="none" w:sz="0" w:space="0" w:color="auto"/>
        <w:bottom w:val="none" w:sz="0" w:space="0" w:color="auto"/>
        <w:right w:val="none" w:sz="0" w:space="0" w:color="auto"/>
      </w:divBdr>
    </w:div>
    <w:div w:id="492992590">
      <w:bodyDiv w:val="1"/>
      <w:marLeft w:val="0"/>
      <w:marRight w:val="0"/>
      <w:marTop w:val="0"/>
      <w:marBottom w:val="0"/>
      <w:divBdr>
        <w:top w:val="none" w:sz="0" w:space="0" w:color="auto"/>
        <w:left w:val="none" w:sz="0" w:space="0" w:color="auto"/>
        <w:bottom w:val="none" w:sz="0" w:space="0" w:color="auto"/>
        <w:right w:val="none" w:sz="0" w:space="0" w:color="auto"/>
      </w:divBdr>
    </w:div>
    <w:div w:id="582183183">
      <w:bodyDiv w:val="1"/>
      <w:marLeft w:val="0"/>
      <w:marRight w:val="0"/>
      <w:marTop w:val="0"/>
      <w:marBottom w:val="0"/>
      <w:divBdr>
        <w:top w:val="none" w:sz="0" w:space="0" w:color="auto"/>
        <w:left w:val="none" w:sz="0" w:space="0" w:color="auto"/>
        <w:bottom w:val="none" w:sz="0" w:space="0" w:color="auto"/>
        <w:right w:val="none" w:sz="0" w:space="0" w:color="auto"/>
      </w:divBdr>
    </w:div>
    <w:div w:id="1476416431">
      <w:bodyDiv w:val="1"/>
      <w:marLeft w:val="0"/>
      <w:marRight w:val="0"/>
      <w:marTop w:val="0"/>
      <w:marBottom w:val="0"/>
      <w:divBdr>
        <w:top w:val="none" w:sz="0" w:space="0" w:color="auto"/>
        <w:left w:val="none" w:sz="0" w:space="0" w:color="auto"/>
        <w:bottom w:val="none" w:sz="0" w:space="0" w:color="auto"/>
        <w:right w:val="none" w:sz="0" w:space="0" w:color="auto"/>
      </w:divBdr>
    </w:div>
    <w:div w:id="197894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F97C-29C8-4575-A980-6B68977C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Hasse</dc:creator>
  <cp:lastModifiedBy>Helena Mattana Dionisio</cp:lastModifiedBy>
  <cp:revision>2</cp:revision>
  <cp:lastPrinted>2025-04-25T18:38:00Z</cp:lastPrinted>
  <dcterms:created xsi:type="dcterms:W3CDTF">2025-05-13T14:38:00Z</dcterms:created>
  <dcterms:modified xsi:type="dcterms:W3CDTF">2025-05-13T14:38:00Z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DFD8995899C94BB4AE3A2D7B42DD941A_13</vt:lpwstr>
  </property>
</Properties>
</file>